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69F" w:rsidRPr="00194D5F" w:rsidRDefault="0022469F" w:rsidP="0022469F">
      <w:pPr>
        <w:spacing w:after="0" w:line="240" w:lineRule="auto"/>
        <w:jc w:val="center"/>
        <w:rPr>
          <w:rFonts w:ascii="Times New Roman" w:hAnsi="Times New Roman"/>
          <w:sz w:val="28"/>
          <w:szCs w:val="28"/>
        </w:rPr>
      </w:pPr>
    </w:p>
    <w:p w:rsidR="0022469F" w:rsidRPr="00194D5F" w:rsidRDefault="0022469F" w:rsidP="0022469F">
      <w:pPr>
        <w:spacing w:after="0" w:line="240" w:lineRule="auto"/>
        <w:jc w:val="right"/>
        <w:rPr>
          <w:rFonts w:ascii="Times New Roman" w:hAnsi="Times New Roman"/>
          <w:sz w:val="28"/>
          <w:szCs w:val="28"/>
        </w:rPr>
      </w:pPr>
    </w:p>
    <w:p w:rsidR="0022469F" w:rsidRPr="00194D5F" w:rsidRDefault="0022469F" w:rsidP="0022469F">
      <w:pPr>
        <w:spacing w:after="0" w:line="240" w:lineRule="auto"/>
        <w:rPr>
          <w:rFonts w:ascii="Times New Roman" w:hAnsi="Times New Roman"/>
          <w:sz w:val="28"/>
          <w:szCs w:val="28"/>
        </w:rPr>
      </w:pPr>
    </w:p>
    <w:p w:rsidR="0022469F" w:rsidRPr="00194D5F" w:rsidRDefault="0022469F" w:rsidP="0022469F">
      <w:pPr>
        <w:spacing w:after="0" w:line="240" w:lineRule="auto"/>
        <w:jc w:val="center"/>
        <w:rPr>
          <w:rFonts w:ascii="Times New Roman" w:hAnsi="Times New Roman"/>
          <w:b/>
          <w:sz w:val="36"/>
          <w:szCs w:val="36"/>
        </w:rPr>
      </w:pPr>
      <w:r w:rsidRPr="00194D5F">
        <w:rPr>
          <w:rFonts w:ascii="Times New Roman" w:hAnsi="Times New Roman"/>
          <w:b/>
          <w:sz w:val="36"/>
          <w:szCs w:val="36"/>
        </w:rPr>
        <w:t>НАРОДНОЕ СОБРАНИЕ (ПАРЛАМЕНТ)</w:t>
      </w:r>
    </w:p>
    <w:p w:rsidR="0022469F" w:rsidRPr="00194D5F" w:rsidRDefault="0022469F" w:rsidP="0022469F">
      <w:pPr>
        <w:spacing w:after="0" w:line="240" w:lineRule="auto"/>
        <w:jc w:val="center"/>
        <w:rPr>
          <w:rFonts w:ascii="Times New Roman" w:hAnsi="Times New Roman"/>
          <w:b/>
          <w:sz w:val="36"/>
          <w:szCs w:val="36"/>
        </w:rPr>
      </w:pPr>
      <w:r w:rsidRPr="00194D5F">
        <w:rPr>
          <w:rFonts w:ascii="Times New Roman" w:hAnsi="Times New Roman"/>
          <w:b/>
          <w:sz w:val="36"/>
          <w:szCs w:val="36"/>
        </w:rPr>
        <w:t>КАРАЧАЕВО-ЧЕРКЕССКОЙ РЕСПУБЛИКИ</w:t>
      </w:r>
    </w:p>
    <w:p w:rsidR="0022469F" w:rsidRPr="00194D5F" w:rsidRDefault="0022469F" w:rsidP="0022469F">
      <w:pPr>
        <w:spacing w:after="0" w:line="240" w:lineRule="auto"/>
        <w:jc w:val="center"/>
        <w:rPr>
          <w:rFonts w:ascii="Times New Roman" w:hAnsi="Times New Roman"/>
          <w:b/>
          <w:sz w:val="36"/>
          <w:szCs w:val="36"/>
        </w:rPr>
      </w:pPr>
    </w:p>
    <w:p w:rsidR="0022469F" w:rsidRPr="00685B00" w:rsidRDefault="00685B00" w:rsidP="00685B00">
      <w:pPr>
        <w:pBdr>
          <w:bottom w:val="single" w:sz="12" w:space="10" w:color="auto"/>
        </w:pBdr>
        <w:spacing w:line="240" w:lineRule="auto"/>
        <w:jc w:val="center"/>
        <w:rPr>
          <w:rFonts w:ascii="Times New Roman" w:hAnsi="Times New Roman"/>
          <w:b/>
          <w:sz w:val="28"/>
          <w:szCs w:val="28"/>
        </w:rPr>
      </w:pPr>
      <w:r>
        <w:rPr>
          <w:rFonts w:ascii="Times New Roman" w:hAnsi="Times New Roman"/>
          <w:b/>
          <w:sz w:val="28"/>
          <w:szCs w:val="28"/>
        </w:rPr>
        <w:t>ОРГАНИЗАЦИОННОЕ УПРАВЛЕНИЕ</w:t>
      </w:r>
    </w:p>
    <w:p w:rsidR="0022469F" w:rsidRPr="0061307E" w:rsidRDefault="0022469F" w:rsidP="0022469F">
      <w:pPr>
        <w:spacing w:after="0" w:line="240" w:lineRule="auto"/>
        <w:jc w:val="both"/>
        <w:rPr>
          <w:rFonts w:ascii="Times New Roman" w:hAnsi="Times New Roman"/>
          <w:b/>
        </w:rPr>
      </w:pPr>
      <w:r w:rsidRPr="00194D5F">
        <w:rPr>
          <w:rFonts w:ascii="Times New Roman" w:hAnsi="Times New Roman"/>
          <w:b/>
        </w:rPr>
        <w:t xml:space="preserve">369000, </w:t>
      </w:r>
      <w:r>
        <w:rPr>
          <w:rFonts w:ascii="Times New Roman" w:hAnsi="Times New Roman"/>
          <w:b/>
        </w:rPr>
        <w:t xml:space="preserve">КЧР, </w:t>
      </w:r>
      <w:r w:rsidRPr="00194D5F">
        <w:rPr>
          <w:rFonts w:ascii="Times New Roman" w:hAnsi="Times New Roman"/>
          <w:b/>
        </w:rPr>
        <w:t>г. Черкесск, ул. К</w:t>
      </w:r>
      <w:r w:rsidR="005102A8">
        <w:rPr>
          <w:rFonts w:ascii="Times New Roman" w:hAnsi="Times New Roman"/>
          <w:b/>
        </w:rPr>
        <w:t>омсомольская</w:t>
      </w:r>
      <w:r w:rsidRPr="00194D5F">
        <w:rPr>
          <w:rFonts w:ascii="Times New Roman" w:hAnsi="Times New Roman"/>
          <w:b/>
        </w:rPr>
        <w:t xml:space="preserve">, </w:t>
      </w:r>
      <w:r w:rsidR="005102A8">
        <w:rPr>
          <w:rFonts w:ascii="Times New Roman" w:hAnsi="Times New Roman"/>
          <w:b/>
        </w:rPr>
        <w:t>23</w:t>
      </w:r>
      <w:r w:rsidRPr="00194D5F">
        <w:rPr>
          <w:rFonts w:ascii="Times New Roman" w:hAnsi="Times New Roman"/>
          <w:b/>
        </w:rPr>
        <w:t xml:space="preserve">            </w:t>
      </w:r>
      <w:r w:rsidR="003C2A81">
        <w:rPr>
          <w:rFonts w:ascii="Times New Roman" w:hAnsi="Times New Roman"/>
          <w:b/>
        </w:rPr>
        <w:t xml:space="preserve">                                 </w:t>
      </w:r>
      <w:r w:rsidRPr="00194D5F">
        <w:rPr>
          <w:rFonts w:ascii="Times New Roman" w:hAnsi="Times New Roman"/>
          <w:b/>
        </w:rPr>
        <w:t xml:space="preserve">        тел.</w:t>
      </w:r>
      <w:r w:rsidR="003C2A81">
        <w:rPr>
          <w:rFonts w:ascii="Times New Roman" w:hAnsi="Times New Roman"/>
          <w:b/>
        </w:rPr>
        <w:t xml:space="preserve"> </w:t>
      </w:r>
      <w:r w:rsidR="00685B00">
        <w:rPr>
          <w:rFonts w:ascii="Times New Roman" w:hAnsi="Times New Roman"/>
          <w:b/>
        </w:rPr>
        <w:t>28-45-19</w:t>
      </w:r>
    </w:p>
    <w:p w:rsidR="00F01AA6" w:rsidRDefault="00F01AA6" w:rsidP="002C79E1">
      <w:pPr>
        <w:spacing w:after="0" w:line="240" w:lineRule="auto"/>
        <w:rPr>
          <w:rFonts w:ascii="Times New Roman" w:hAnsi="Times New Roman"/>
          <w:b/>
          <w:sz w:val="28"/>
          <w:szCs w:val="28"/>
        </w:rPr>
      </w:pPr>
    </w:p>
    <w:tbl>
      <w:tblPr>
        <w:tblW w:w="9464" w:type="dxa"/>
        <w:tblLayout w:type="fixed"/>
        <w:tblLook w:val="04A0" w:firstRow="1" w:lastRow="0" w:firstColumn="1" w:lastColumn="0" w:noHBand="0" w:noVBand="1"/>
      </w:tblPr>
      <w:tblGrid>
        <w:gridCol w:w="4395"/>
        <w:gridCol w:w="5069"/>
      </w:tblGrid>
      <w:tr w:rsidR="002C79E1" w:rsidRPr="002C79E1" w:rsidTr="00083457">
        <w:trPr>
          <w:trHeight w:val="888"/>
        </w:trPr>
        <w:tc>
          <w:tcPr>
            <w:tcW w:w="4395" w:type="dxa"/>
          </w:tcPr>
          <w:p w:rsidR="002C79E1" w:rsidRPr="002C79E1" w:rsidRDefault="002C79E1" w:rsidP="002C79E1">
            <w:pPr>
              <w:widowControl w:val="0"/>
              <w:tabs>
                <w:tab w:val="left" w:leader="underscore" w:pos="1967"/>
                <w:tab w:val="left" w:leader="underscore" w:pos="3892"/>
              </w:tabs>
              <w:spacing w:after="0" w:line="240" w:lineRule="exact"/>
              <w:ind w:left="-247"/>
              <w:contextualSpacing/>
              <w:rPr>
                <w:rFonts w:ascii="Times New Roman" w:eastAsia="Times New Roman" w:hAnsi="Times New Roman"/>
                <w:color w:val="FF0000"/>
                <w:sz w:val="24"/>
                <w:szCs w:val="24"/>
                <w:lang w:eastAsia="ru-RU"/>
              </w:rPr>
            </w:pPr>
            <w:bookmarkStart w:id="0" w:name="REGNUMDATESTAMP"/>
            <w:r w:rsidRPr="002C79E1">
              <w:rPr>
                <w:rFonts w:ascii="Times New Roman" w:eastAsia="Times New Roman" w:hAnsi="Times New Roman"/>
                <w:color w:val="FF0000"/>
                <w:sz w:val="24"/>
                <w:szCs w:val="24"/>
                <w:lang w:eastAsia="ru-RU"/>
              </w:rPr>
              <w:t>[</w:t>
            </w:r>
            <w:proofErr w:type="spellStart"/>
            <w:r w:rsidRPr="002C79E1">
              <w:rPr>
                <w:rFonts w:ascii="Times New Roman" w:eastAsia="Times New Roman" w:hAnsi="Times New Roman"/>
                <w:color w:val="FF0000"/>
                <w:sz w:val="24"/>
                <w:szCs w:val="24"/>
                <w:lang w:eastAsia="ru-RU"/>
              </w:rPr>
              <w:t>Авто_рег.ном</w:t>
            </w:r>
            <w:proofErr w:type="spellEnd"/>
            <w:r w:rsidRPr="002C79E1">
              <w:rPr>
                <w:rFonts w:ascii="Times New Roman" w:eastAsia="Times New Roman" w:hAnsi="Times New Roman"/>
                <w:color w:val="FF0000"/>
                <w:sz w:val="24"/>
                <w:szCs w:val="24"/>
                <w:lang w:eastAsia="ru-RU"/>
              </w:rPr>
              <w:t>]</w:t>
            </w:r>
            <w:bookmarkEnd w:id="0"/>
          </w:p>
          <w:p w:rsidR="002C79E1" w:rsidRPr="002C79E1" w:rsidRDefault="002C79E1" w:rsidP="002C79E1">
            <w:pPr>
              <w:widowControl w:val="0"/>
              <w:tabs>
                <w:tab w:val="left" w:leader="underscore" w:pos="1967"/>
                <w:tab w:val="left" w:leader="underscore" w:pos="3892"/>
              </w:tabs>
              <w:spacing w:after="0" w:line="240" w:lineRule="auto"/>
              <w:ind w:left="-68"/>
              <w:contextualSpacing/>
              <w:rPr>
                <w:rFonts w:ascii="Times New Roman" w:eastAsia="Times New Roman" w:hAnsi="Times New Roman"/>
                <w:color w:val="000000"/>
                <w:sz w:val="12"/>
                <w:szCs w:val="12"/>
                <w:shd w:val="clear" w:color="auto" w:fill="FFFFFF"/>
                <w:lang w:eastAsia="ru-RU"/>
              </w:rPr>
            </w:pPr>
          </w:p>
          <w:p w:rsidR="002C79E1" w:rsidRPr="002C79E1" w:rsidRDefault="002C79E1" w:rsidP="002C79E1">
            <w:pPr>
              <w:widowControl w:val="0"/>
              <w:tabs>
                <w:tab w:val="left" w:leader="underscore" w:pos="1967"/>
                <w:tab w:val="left" w:leader="underscore" w:pos="3892"/>
              </w:tabs>
              <w:spacing w:after="0" w:line="240" w:lineRule="exact"/>
              <w:ind w:left="-69"/>
              <w:contextualSpacing/>
              <w:rPr>
                <w:rFonts w:ascii="Times New Roman" w:eastAsia="Times New Roman" w:hAnsi="Times New Roman"/>
                <w:color w:val="000000"/>
                <w:sz w:val="12"/>
                <w:szCs w:val="12"/>
                <w:shd w:val="clear" w:color="auto" w:fill="FFFFFF"/>
                <w:lang w:eastAsia="ru-RU"/>
              </w:rPr>
            </w:pPr>
          </w:p>
          <w:p w:rsidR="002C79E1" w:rsidRPr="002C79E1" w:rsidRDefault="002C79E1" w:rsidP="002C79E1">
            <w:pPr>
              <w:widowControl w:val="0"/>
              <w:spacing w:after="0" w:line="240" w:lineRule="exact"/>
              <w:ind w:left="-120"/>
              <w:contextualSpacing/>
              <w:rPr>
                <w:rFonts w:ascii="Times New Roman" w:eastAsia="Times New Roman" w:hAnsi="Times New Roman"/>
                <w:color w:val="000000"/>
                <w:sz w:val="24"/>
                <w:szCs w:val="24"/>
                <w:shd w:val="clear" w:color="auto" w:fill="FFFFFF"/>
                <w:lang w:eastAsia="ru-RU"/>
              </w:rPr>
            </w:pPr>
            <w:r w:rsidRPr="002C79E1">
              <w:rPr>
                <w:rFonts w:ascii="Times New Roman" w:eastAsia="Times New Roman" w:hAnsi="Times New Roman"/>
                <w:color w:val="000000"/>
                <w:sz w:val="24"/>
                <w:szCs w:val="24"/>
                <w:shd w:val="clear" w:color="auto" w:fill="FFFFFF"/>
                <w:lang w:eastAsia="ru-RU"/>
              </w:rPr>
              <w:t xml:space="preserve">   На № ___________ от ____________</w:t>
            </w:r>
          </w:p>
        </w:tc>
        <w:tc>
          <w:tcPr>
            <w:tcW w:w="5069" w:type="dxa"/>
          </w:tcPr>
          <w:p w:rsidR="002C79E1" w:rsidRPr="002C79E1" w:rsidRDefault="002C79E1" w:rsidP="002C79E1">
            <w:pPr>
              <w:widowControl w:val="0"/>
              <w:shd w:val="clear" w:color="auto" w:fill="FFFFFF"/>
              <w:spacing w:after="180" w:line="240" w:lineRule="exact"/>
              <w:contextualSpacing/>
              <w:jc w:val="center"/>
              <w:rPr>
                <w:rFonts w:ascii="Times New Roman" w:eastAsia="Times New Roman" w:hAnsi="Times New Roman"/>
                <w:color w:val="000000"/>
                <w:sz w:val="28"/>
                <w:szCs w:val="28"/>
                <w:shd w:val="clear" w:color="auto" w:fill="FFFFFF"/>
                <w:lang w:eastAsia="ru-RU"/>
              </w:rPr>
            </w:pPr>
          </w:p>
          <w:p w:rsidR="009B09CF" w:rsidRDefault="009B09CF" w:rsidP="009B09CF">
            <w:pPr>
              <w:widowControl w:val="0"/>
              <w:spacing w:after="0" w:line="240" w:lineRule="auto"/>
              <w:contextualSpacing/>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    Начальнику Информационно</w:t>
            </w:r>
          </w:p>
          <w:p w:rsidR="009B09CF" w:rsidRPr="009B09CF" w:rsidRDefault="009B09CF" w:rsidP="009B09CF">
            <w:pPr>
              <w:widowControl w:val="0"/>
              <w:spacing w:after="0" w:line="240" w:lineRule="auto"/>
              <w:contextualSpacing/>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    </w:t>
            </w:r>
            <w:r w:rsidRPr="009B09CF">
              <w:rPr>
                <w:rFonts w:ascii="Times New Roman" w:eastAsia="Times New Roman" w:hAnsi="Times New Roman"/>
                <w:b/>
                <w:color w:val="000000"/>
                <w:sz w:val="28"/>
                <w:szCs w:val="28"/>
                <w:shd w:val="clear" w:color="auto" w:fill="FFFFFF"/>
                <w:lang w:eastAsia="ru-RU"/>
              </w:rPr>
              <w:t xml:space="preserve">аналитического управления </w:t>
            </w:r>
          </w:p>
          <w:p w:rsidR="009B09CF" w:rsidRDefault="009B09CF" w:rsidP="009B09CF">
            <w:pPr>
              <w:widowControl w:val="0"/>
              <w:spacing w:after="0" w:line="240" w:lineRule="auto"/>
              <w:contextualSpacing/>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    Народного Собрания (Парламента)</w:t>
            </w:r>
          </w:p>
          <w:p w:rsidR="009B09CF" w:rsidRPr="009B09CF" w:rsidRDefault="009B09CF" w:rsidP="009B09CF">
            <w:pPr>
              <w:widowControl w:val="0"/>
              <w:spacing w:after="0" w:line="240" w:lineRule="auto"/>
              <w:contextualSpacing/>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    </w:t>
            </w:r>
            <w:r w:rsidRPr="009B09CF">
              <w:rPr>
                <w:rFonts w:ascii="Times New Roman" w:eastAsia="Times New Roman" w:hAnsi="Times New Roman"/>
                <w:b/>
                <w:color w:val="000000"/>
                <w:sz w:val="28"/>
                <w:szCs w:val="28"/>
                <w:shd w:val="clear" w:color="auto" w:fill="FFFFFF"/>
                <w:lang w:eastAsia="ru-RU"/>
              </w:rPr>
              <w:t xml:space="preserve">Карачаево-Черкесской Республики </w:t>
            </w:r>
          </w:p>
          <w:p w:rsidR="009B09CF" w:rsidRPr="009B09CF" w:rsidRDefault="009B09CF" w:rsidP="009B09CF">
            <w:pPr>
              <w:widowControl w:val="0"/>
              <w:spacing w:after="0" w:line="240" w:lineRule="exact"/>
              <w:contextualSpacing/>
              <w:jc w:val="right"/>
              <w:rPr>
                <w:rFonts w:ascii="Times New Roman" w:eastAsia="Times New Roman" w:hAnsi="Times New Roman"/>
                <w:b/>
                <w:color w:val="000000"/>
                <w:sz w:val="28"/>
                <w:szCs w:val="28"/>
                <w:shd w:val="clear" w:color="auto" w:fill="FFFFFF"/>
                <w:lang w:eastAsia="ru-RU"/>
              </w:rPr>
            </w:pPr>
            <w:r w:rsidRPr="009B09CF">
              <w:rPr>
                <w:rFonts w:ascii="Times New Roman" w:eastAsia="Times New Roman" w:hAnsi="Times New Roman"/>
                <w:b/>
                <w:color w:val="000000"/>
                <w:sz w:val="28"/>
                <w:szCs w:val="28"/>
                <w:shd w:val="clear" w:color="auto" w:fill="FFFFFF"/>
                <w:lang w:eastAsia="ru-RU"/>
              </w:rPr>
              <w:t xml:space="preserve"> </w:t>
            </w:r>
          </w:p>
          <w:p w:rsidR="009B09CF" w:rsidRPr="009B09CF" w:rsidRDefault="009B09CF" w:rsidP="009B09CF">
            <w:pPr>
              <w:widowControl w:val="0"/>
              <w:spacing w:after="0" w:line="240" w:lineRule="exact"/>
              <w:contextualSpacing/>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    </w:t>
            </w:r>
            <w:r w:rsidRPr="009B09CF">
              <w:rPr>
                <w:rFonts w:ascii="Times New Roman" w:eastAsia="Times New Roman" w:hAnsi="Times New Roman"/>
                <w:b/>
                <w:color w:val="000000"/>
                <w:sz w:val="28"/>
                <w:szCs w:val="28"/>
                <w:shd w:val="clear" w:color="auto" w:fill="FFFFFF"/>
                <w:lang w:eastAsia="ru-RU"/>
              </w:rPr>
              <w:t xml:space="preserve">Н.В. Соколенко </w:t>
            </w:r>
          </w:p>
          <w:p w:rsidR="002C79E1" w:rsidRPr="002C79E1" w:rsidRDefault="002C79E1" w:rsidP="002C79E1">
            <w:pPr>
              <w:widowControl w:val="0"/>
              <w:spacing w:after="0" w:line="240" w:lineRule="exact"/>
              <w:contextualSpacing/>
              <w:jc w:val="right"/>
              <w:rPr>
                <w:rFonts w:ascii="Times New Roman" w:eastAsia="Times New Roman" w:hAnsi="Times New Roman"/>
                <w:color w:val="000000"/>
                <w:sz w:val="28"/>
                <w:szCs w:val="28"/>
                <w:shd w:val="clear" w:color="auto" w:fill="FFFFFF"/>
                <w:lang w:eastAsia="ru-RU"/>
              </w:rPr>
            </w:pPr>
          </w:p>
        </w:tc>
      </w:tr>
    </w:tbl>
    <w:p w:rsidR="002C79E1" w:rsidRPr="002C79E1" w:rsidRDefault="002C79E1" w:rsidP="002C79E1">
      <w:pPr>
        <w:spacing w:after="0" w:line="240" w:lineRule="auto"/>
        <w:rPr>
          <w:rFonts w:ascii="Times New Roman" w:eastAsia="Times New Roman" w:hAnsi="Times New Roman"/>
          <w:color w:val="0000FF"/>
          <w:sz w:val="28"/>
          <w:szCs w:val="24"/>
          <w:lang w:eastAsia="ru-RU"/>
        </w:rPr>
      </w:pPr>
    </w:p>
    <w:p w:rsidR="002C79E1" w:rsidRPr="002C79E1" w:rsidRDefault="002C79E1" w:rsidP="002C79E1">
      <w:pPr>
        <w:jc w:val="center"/>
        <w:rPr>
          <w:rFonts w:ascii="Times New Roman" w:hAnsi="Times New Roman"/>
          <w:b/>
          <w:sz w:val="28"/>
        </w:rPr>
      </w:pPr>
    </w:p>
    <w:p w:rsidR="002C79E1" w:rsidRPr="002C79E1" w:rsidRDefault="002C79E1" w:rsidP="002C79E1">
      <w:pPr>
        <w:jc w:val="center"/>
        <w:rPr>
          <w:rFonts w:ascii="Times New Roman" w:hAnsi="Times New Roman"/>
          <w:b/>
          <w:sz w:val="28"/>
        </w:rPr>
      </w:pPr>
    </w:p>
    <w:p w:rsidR="009B09CF" w:rsidRPr="009B09CF" w:rsidRDefault="009B09CF" w:rsidP="009B09CF">
      <w:pPr>
        <w:spacing w:after="0" w:line="240" w:lineRule="auto"/>
        <w:jc w:val="center"/>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Уважаемая Наталья Викторовна!</w:t>
      </w:r>
    </w:p>
    <w:p w:rsidR="009B09CF" w:rsidRPr="009B09CF" w:rsidRDefault="009B09CF" w:rsidP="009B09CF">
      <w:pPr>
        <w:spacing w:after="0" w:line="240" w:lineRule="auto"/>
        <w:jc w:val="center"/>
        <w:rPr>
          <w:rFonts w:ascii="Times New Roman" w:eastAsia="Times New Roman" w:hAnsi="Times New Roman"/>
          <w:sz w:val="28"/>
          <w:szCs w:val="24"/>
          <w:lang w:eastAsia="ru-RU"/>
        </w:rPr>
      </w:pPr>
    </w:p>
    <w:p w:rsidR="009B09CF" w:rsidRDefault="009B09CF" w:rsidP="009B09CF">
      <w:pPr>
        <w:spacing w:after="0" w:line="360" w:lineRule="auto"/>
        <w:ind w:firstLine="708"/>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 xml:space="preserve">Во исполнение Распоряжения Председателя Народного Собрания (Парламента) Карачаево-Черкесской Республики от 20 января 2011 г. </w:t>
      </w:r>
      <w:r>
        <w:rPr>
          <w:rFonts w:ascii="Times New Roman" w:eastAsia="Times New Roman" w:hAnsi="Times New Roman"/>
          <w:sz w:val="28"/>
          <w:szCs w:val="24"/>
          <w:lang w:eastAsia="ru-RU"/>
        </w:rPr>
        <w:t xml:space="preserve">№ 1 </w:t>
      </w:r>
    </w:p>
    <w:p w:rsidR="009B09CF" w:rsidRPr="009B09CF" w:rsidRDefault="009B09CF" w:rsidP="003611F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О результатах деятельности аппарата Народного Собрания (Парламента) Карачаево-Черкесской Республики за отчетный период» направляю отчет Организационного управления за 202</w:t>
      </w:r>
      <w:r w:rsidR="003611FF">
        <w:rPr>
          <w:rFonts w:ascii="Times New Roman" w:eastAsia="Times New Roman" w:hAnsi="Times New Roman"/>
          <w:sz w:val="28"/>
          <w:szCs w:val="24"/>
          <w:lang w:eastAsia="ru-RU"/>
        </w:rPr>
        <w:t>5</w:t>
      </w:r>
      <w:r w:rsidRPr="009B09CF">
        <w:rPr>
          <w:rFonts w:ascii="Times New Roman" w:eastAsia="Times New Roman" w:hAnsi="Times New Roman"/>
          <w:sz w:val="28"/>
          <w:szCs w:val="24"/>
          <w:lang w:eastAsia="ru-RU"/>
        </w:rPr>
        <w:t xml:space="preserve"> год.</w:t>
      </w:r>
    </w:p>
    <w:p w:rsidR="009B09CF" w:rsidRPr="009B09CF" w:rsidRDefault="00EC63D3" w:rsidP="0047369B">
      <w:pPr>
        <w:spacing w:after="0" w:line="36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Приложение на </w:t>
      </w:r>
      <w:r w:rsidR="0047369B">
        <w:rPr>
          <w:rFonts w:ascii="Times New Roman" w:eastAsia="Times New Roman" w:hAnsi="Times New Roman"/>
          <w:sz w:val="28"/>
          <w:szCs w:val="24"/>
          <w:lang w:val="en-US" w:eastAsia="ru-RU"/>
        </w:rPr>
        <w:t>6</w:t>
      </w:r>
      <w:bookmarkStart w:id="1" w:name="_GoBack"/>
      <w:bookmarkEnd w:id="1"/>
      <w:r w:rsidR="009B09CF" w:rsidRPr="009B09CF">
        <w:rPr>
          <w:rFonts w:ascii="Times New Roman" w:eastAsia="Times New Roman" w:hAnsi="Times New Roman"/>
          <w:sz w:val="28"/>
          <w:szCs w:val="24"/>
          <w:lang w:eastAsia="ru-RU"/>
        </w:rPr>
        <w:t xml:space="preserve"> л. в 1 экз.</w:t>
      </w:r>
    </w:p>
    <w:p w:rsidR="002C79E1" w:rsidRPr="002C79E1" w:rsidRDefault="002C79E1" w:rsidP="009B09CF">
      <w:pPr>
        <w:jc w:val="both"/>
        <w:rPr>
          <w:rFonts w:ascii="Times New Roman" w:hAnsi="Times New Roman"/>
          <w:sz w:val="28"/>
        </w:rPr>
      </w:pPr>
    </w:p>
    <w:tbl>
      <w:tblPr>
        <w:tblW w:w="10060" w:type="dxa"/>
        <w:tblInd w:w="-426" w:type="dxa"/>
        <w:tblLayout w:type="fixed"/>
        <w:tblCellMar>
          <w:left w:w="0" w:type="dxa"/>
          <w:right w:w="0" w:type="dxa"/>
        </w:tblCellMar>
        <w:tblLook w:val="0000" w:firstRow="0" w:lastRow="0" w:firstColumn="0" w:lastColumn="0" w:noHBand="0" w:noVBand="0"/>
      </w:tblPr>
      <w:tblGrid>
        <w:gridCol w:w="3261"/>
        <w:gridCol w:w="4673"/>
        <w:gridCol w:w="2126"/>
      </w:tblGrid>
      <w:tr w:rsidR="002C79E1" w:rsidRPr="002C79E1" w:rsidTr="003D1555">
        <w:trPr>
          <w:trHeight w:hRule="exact" w:val="1474"/>
        </w:trPr>
        <w:tc>
          <w:tcPr>
            <w:tcW w:w="3261" w:type="dxa"/>
            <w:shd w:val="clear" w:color="auto" w:fill="auto"/>
            <w:vAlign w:val="bottom"/>
          </w:tcPr>
          <w:p w:rsidR="002C79E1" w:rsidRPr="002C79E1" w:rsidRDefault="002C79E1" w:rsidP="002C79E1">
            <w:pPr>
              <w:spacing w:after="0" w:line="240" w:lineRule="auto"/>
              <w:rPr>
                <w:rFonts w:ascii="Times New Roman" w:eastAsia="Times New Roman" w:hAnsi="Times New Roman"/>
                <w:sz w:val="28"/>
                <w:szCs w:val="28"/>
                <w:lang w:eastAsia="ru-RU"/>
              </w:rPr>
            </w:pPr>
            <w:r>
              <w:rPr>
                <w:rFonts w:ascii="Times New Roman" w:hAnsi="Times New Roman"/>
                <w:b/>
                <w:sz w:val="28"/>
                <w:szCs w:val="28"/>
              </w:rPr>
              <w:t>Начальник Управления</w:t>
            </w:r>
          </w:p>
        </w:tc>
        <w:tc>
          <w:tcPr>
            <w:tcW w:w="4673" w:type="dxa"/>
          </w:tcPr>
          <w:p w:rsidR="00710A3E" w:rsidRDefault="00710A3E" w:rsidP="002C79E1">
            <w:pPr>
              <w:spacing w:after="0" w:line="240" w:lineRule="auto"/>
              <w:rPr>
                <w:rFonts w:ascii="Times New Roman" w:eastAsia="Times New Roman" w:hAnsi="Times New Roman"/>
                <w:color w:val="FF0000"/>
                <w:sz w:val="24"/>
                <w:szCs w:val="28"/>
                <w:lang w:val="en-US" w:eastAsia="ru-RU"/>
              </w:rPr>
            </w:pPr>
            <w:bookmarkStart w:id="2" w:name="SIGNERSTAMP1"/>
          </w:p>
          <w:p w:rsidR="00710A3E" w:rsidRDefault="00710A3E" w:rsidP="002C79E1">
            <w:pPr>
              <w:spacing w:after="0" w:line="240" w:lineRule="auto"/>
              <w:rPr>
                <w:rFonts w:ascii="Times New Roman" w:eastAsia="Times New Roman" w:hAnsi="Times New Roman"/>
                <w:color w:val="FF0000"/>
                <w:sz w:val="24"/>
                <w:szCs w:val="28"/>
                <w:lang w:val="en-US" w:eastAsia="ru-RU"/>
              </w:rPr>
            </w:pPr>
          </w:p>
          <w:p w:rsidR="00710A3E" w:rsidRDefault="00710A3E" w:rsidP="002C79E1">
            <w:pPr>
              <w:spacing w:after="0" w:line="240" w:lineRule="auto"/>
              <w:rPr>
                <w:rFonts w:ascii="Times New Roman" w:eastAsia="Times New Roman" w:hAnsi="Times New Roman"/>
                <w:color w:val="FF0000"/>
                <w:sz w:val="24"/>
                <w:szCs w:val="28"/>
                <w:lang w:val="en-US" w:eastAsia="ru-RU"/>
              </w:rPr>
            </w:pPr>
          </w:p>
          <w:p w:rsidR="00710A3E" w:rsidRDefault="00710A3E" w:rsidP="002C79E1">
            <w:pPr>
              <w:spacing w:after="0" w:line="240" w:lineRule="auto"/>
              <w:rPr>
                <w:rFonts w:ascii="Times New Roman" w:eastAsia="Times New Roman" w:hAnsi="Times New Roman"/>
                <w:color w:val="FF0000"/>
                <w:sz w:val="24"/>
                <w:szCs w:val="28"/>
                <w:lang w:val="en-US" w:eastAsia="ru-RU"/>
              </w:rPr>
            </w:pPr>
          </w:p>
          <w:p w:rsidR="002C79E1" w:rsidRPr="002C79E1" w:rsidRDefault="002C79E1" w:rsidP="002C79E1">
            <w:pPr>
              <w:spacing w:after="0" w:line="240" w:lineRule="auto"/>
              <w:rPr>
                <w:rFonts w:ascii="Times New Roman" w:eastAsia="Times New Roman" w:hAnsi="Times New Roman"/>
                <w:sz w:val="28"/>
                <w:szCs w:val="28"/>
                <w:lang w:eastAsia="ru-RU"/>
              </w:rPr>
            </w:pPr>
            <w:r w:rsidRPr="002C79E1">
              <w:rPr>
                <w:rFonts w:ascii="Times New Roman" w:eastAsia="Times New Roman" w:hAnsi="Times New Roman"/>
                <w:color w:val="FF0000"/>
                <w:sz w:val="24"/>
                <w:szCs w:val="28"/>
                <w:lang w:val="en-US" w:eastAsia="ru-RU"/>
              </w:rPr>
              <w:t>[</w:t>
            </w:r>
            <w:proofErr w:type="spellStart"/>
            <w:r w:rsidRPr="002C79E1">
              <w:rPr>
                <w:rFonts w:ascii="Times New Roman" w:eastAsia="Times New Roman" w:hAnsi="Times New Roman"/>
                <w:color w:val="FF0000"/>
                <w:sz w:val="24"/>
                <w:szCs w:val="28"/>
                <w:lang w:eastAsia="ru-RU"/>
              </w:rPr>
              <w:t>Авто_Штамп_ЭП</w:t>
            </w:r>
            <w:proofErr w:type="spellEnd"/>
            <w:r w:rsidRPr="002C79E1">
              <w:rPr>
                <w:rFonts w:ascii="Times New Roman" w:eastAsia="Times New Roman" w:hAnsi="Times New Roman"/>
                <w:color w:val="FF0000"/>
                <w:sz w:val="24"/>
                <w:szCs w:val="28"/>
                <w:lang w:eastAsia="ru-RU"/>
              </w:rPr>
              <w:t>]</w:t>
            </w:r>
            <w:bookmarkEnd w:id="2"/>
          </w:p>
        </w:tc>
        <w:tc>
          <w:tcPr>
            <w:tcW w:w="2126" w:type="dxa"/>
            <w:shd w:val="clear" w:color="auto" w:fill="auto"/>
            <w:vAlign w:val="bottom"/>
          </w:tcPr>
          <w:p w:rsidR="002C79E1" w:rsidRPr="00752419" w:rsidRDefault="00685B00" w:rsidP="002C79E1">
            <w:pPr>
              <w:spacing w:after="0" w:line="240" w:lineRule="auto"/>
              <w:jc w:val="right"/>
              <w:rPr>
                <w:rFonts w:ascii="Times New Roman" w:eastAsia="Times New Roman" w:hAnsi="Times New Roman"/>
                <w:color w:val="000000"/>
                <w:sz w:val="28"/>
                <w:szCs w:val="28"/>
                <w:lang w:eastAsia="ru-RU"/>
              </w:rPr>
            </w:pPr>
            <w:r>
              <w:rPr>
                <w:rFonts w:ascii="Times New Roman" w:hAnsi="Times New Roman"/>
                <w:b/>
                <w:sz w:val="28"/>
                <w:szCs w:val="28"/>
              </w:rPr>
              <w:t>И.А. Мамхягова</w:t>
            </w:r>
          </w:p>
        </w:tc>
      </w:tr>
    </w:tbl>
    <w:p w:rsidR="002C79E1" w:rsidRPr="002C79E1" w:rsidRDefault="002C79E1" w:rsidP="002C79E1">
      <w:pPr>
        <w:jc w:val="both"/>
        <w:rPr>
          <w:rFonts w:ascii="Times New Roman" w:hAnsi="Times New Roman"/>
          <w:sz w:val="28"/>
        </w:rPr>
      </w:pPr>
    </w:p>
    <w:p w:rsidR="002C79E1" w:rsidRPr="002C79E1" w:rsidRDefault="002C79E1" w:rsidP="002C79E1">
      <w:pPr>
        <w:jc w:val="both"/>
        <w:rPr>
          <w:rFonts w:ascii="Times New Roman" w:hAnsi="Times New Roman"/>
          <w:sz w:val="28"/>
        </w:rPr>
      </w:pPr>
    </w:p>
    <w:p w:rsidR="00F01AA6" w:rsidRDefault="00F01AA6" w:rsidP="002C79E1">
      <w:pPr>
        <w:rPr>
          <w:rFonts w:ascii="Times New Roman" w:hAnsi="Times New Roman"/>
          <w:b/>
          <w:sz w:val="28"/>
          <w:szCs w:val="28"/>
        </w:rPr>
      </w:pPr>
    </w:p>
    <w:p w:rsidR="003611FF" w:rsidRPr="003611FF" w:rsidRDefault="003611FF" w:rsidP="003611FF">
      <w:pPr>
        <w:spacing w:line="240" w:lineRule="auto"/>
        <w:jc w:val="center"/>
        <w:rPr>
          <w:rFonts w:asciiTheme="majorBidi" w:hAnsiTheme="majorBidi" w:cstheme="majorBidi"/>
          <w:b/>
          <w:sz w:val="28"/>
          <w:szCs w:val="28"/>
        </w:rPr>
      </w:pPr>
      <w:r w:rsidRPr="003611FF">
        <w:rPr>
          <w:rFonts w:asciiTheme="majorBidi" w:hAnsiTheme="majorBidi" w:cstheme="majorBidi"/>
          <w:b/>
          <w:sz w:val="28"/>
          <w:szCs w:val="28"/>
        </w:rPr>
        <w:lastRenderedPageBreak/>
        <w:t>ОТЧЕТ</w:t>
      </w:r>
    </w:p>
    <w:p w:rsidR="003611FF" w:rsidRPr="003611FF" w:rsidRDefault="003611FF" w:rsidP="003611FF">
      <w:pPr>
        <w:spacing w:line="240" w:lineRule="auto"/>
        <w:jc w:val="center"/>
        <w:rPr>
          <w:rFonts w:asciiTheme="majorBidi" w:hAnsiTheme="majorBidi" w:cstheme="majorBidi"/>
          <w:b/>
          <w:sz w:val="28"/>
          <w:szCs w:val="28"/>
        </w:rPr>
      </w:pPr>
      <w:r w:rsidRPr="003611FF">
        <w:rPr>
          <w:rFonts w:asciiTheme="majorBidi" w:hAnsiTheme="majorBidi" w:cstheme="majorBidi"/>
          <w:b/>
          <w:sz w:val="28"/>
          <w:szCs w:val="28"/>
        </w:rPr>
        <w:t>об итогах работы Организационного управления</w:t>
      </w:r>
    </w:p>
    <w:p w:rsidR="003611FF" w:rsidRPr="003611FF" w:rsidRDefault="003611FF" w:rsidP="003611FF">
      <w:pPr>
        <w:spacing w:line="240" w:lineRule="auto"/>
        <w:jc w:val="center"/>
        <w:rPr>
          <w:rFonts w:asciiTheme="majorBidi" w:hAnsiTheme="majorBidi" w:cstheme="majorBidi"/>
          <w:b/>
          <w:sz w:val="28"/>
          <w:szCs w:val="28"/>
        </w:rPr>
      </w:pPr>
      <w:r w:rsidRPr="003611FF">
        <w:rPr>
          <w:rFonts w:asciiTheme="majorBidi" w:hAnsiTheme="majorBidi" w:cstheme="majorBidi"/>
          <w:b/>
          <w:sz w:val="28"/>
          <w:szCs w:val="28"/>
        </w:rPr>
        <w:t>Народного Собрания (Парламента) Карачаево-Черкесской Республики за 2025 год</w:t>
      </w:r>
    </w:p>
    <w:p w:rsidR="003611FF" w:rsidRPr="003611FF" w:rsidRDefault="003611FF" w:rsidP="003611FF">
      <w:pPr>
        <w:spacing w:line="360" w:lineRule="auto"/>
        <w:jc w:val="both"/>
        <w:rPr>
          <w:rFonts w:asciiTheme="majorBidi" w:hAnsiTheme="majorBidi" w:cstheme="majorBidi"/>
          <w:b/>
          <w:sz w:val="28"/>
          <w:szCs w:val="28"/>
        </w:rPr>
      </w:pP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b/>
          <w:sz w:val="28"/>
          <w:szCs w:val="28"/>
        </w:rPr>
        <w:tab/>
      </w:r>
      <w:r w:rsidRPr="003611FF">
        <w:rPr>
          <w:rFonts w:asciiTheme="majorBidi" w:hAnsiTheme="majorBidi" w:cstheme="majorBidi"/>
          <w:sz w:val="28"/>
          <w:szCs w:val="28"/>
        </w:rPr>
        <w:t>В соответствии с Положением об аппарате Народного Собрания (Парламента) Карачаево-Черкесской Республики, Положением об Организационном управлении Народного Собрания в 2025 году Организационным управлением была проделана следующая работа:</w:t>
      </w:r>
    </w:p>
    <w:p w:rsidR="003611FF" w:rsidRPr="003611FF" w:rsidRDefault="003611FF" w:rsidP="003611FF">
      <w:pPr>
        <w:spacing w:line="360" w:lineRule="auto"/>
        <w:jc w:val="center"/>
        <w:rPr>
          <w:rFonts w:asciiTheme="majorBidi" w:hAnsiTheme="majorBidi" w:cstheme="majorBidi"/>
          <w:b/>
          <w:sz w:val="28"/>
          <w:szCs w:val="28"/>
        </w:rPr>
      </w:pPr>
      <w:r w:rsidRPr="003611FF">
        <w:rPr>
          <w:rFonts w:asciiTheme="majorBidi" w:hAnsiTheme="majorBidi" w:cstheme="majorBidi"/>
          <w:b/>
          <w:sz w:val="28"/>
          <w:szCs w:val="28"/>
        </w:rPr>
        <w:t>1. Организационное обеспечение деятельности</w:t>
      </w:r>
    </w:p>
    <w:p w:rsidR="003611FF" w:rsidRPr="003611FF" w:rsidRDefault="003611FF" w:rsidP="003611FF">
      <w:pPr>
        <w:spacing w:line="360" w:lineRule="auto"/>
        <w:jc w:val="center"/>
        <w:rPr>
          <w:rFonts w:asciiTheme="majorBidi" w:hAnsiTheme="majorBidi" w:cstheme="majorBidi"/>
          <w:b/>
          <w:sz w:val="28"/>
          <w:szCs w:val="28"/>
        </w:rPr>
      </w:pPr>
      <w:r w:rsidRPr="003611FF">
        <w:rPr>
          <w:rFonts w:asciiTheme="majorBidi" w:hAnsiTheme="majorBidi" w:cstheme="majorBidi"/>
          <w:b/>
          <w:sz w:val="28"/>
          <w:szCs w:val="28"/>
        </w:rPr>
        <w:t>Народного Собрания (Парламента) Карачаево-Черкесской Республики</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Проведены организационные мероприятия по подготовке и проведению 12 сессий Народного Собрания (Парламента) КЧР, а именно: подготовка проектов повесток дня сессий, постановлений Президиума  Парламента республики и распоряжений Председателя Парламента республики о созыве и повестке дня сессий Народного Собрания (Парламента) КЧР, формирование порядка ведения сессий, оповещение депутатов и приглашенных о начале работы сессий, заседаний фракций, организация регистрации приглашенных перед началом сессий и дежурства  во время сессий.</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Оказывалось содействие в организационно-процедурном обеспечении деятельности депутатских фракций Народного Собрания (перерегистрировано 5 фракции  седьмого созыва Народного Собрания, оформлено 10 протоколов заседаний депутатской фракции «Единая Россия» в Народном Собрании, члены фракции «Единая Россия» постоянно информировались о дежурстве в общественной приемной Председателя партии «Единая Россия»                        Д.А. Медведева, оказывалась консультативная помощь другим депутатским фракциям в Народном Собрании (Парламенте) КЧР).</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lastRenderedPageBreak/>
        <w:tab/>
        <w:t xml:space="preserve">Сформированы на базе предложений депутатов Народного Собрания, обобщенных комитетами Народного Собрания (Парламента) КЧР, Главы Карачаево-Черкесской Республики, Правительства Карачаево-Черкесской Республики и других субъектов права законодательной инициативы проекты планов Народного Собрания (Парламента) КЧР на </w:t>
      </w:r>
      <w:r w:rsidRPr="003611FF">
        <w:rPr>
          <w:rFonts w:asciiTheme="majorBidi" w:hAnsiTheme="majorBidi" w:cstheme="majorBidi"/>
          <w:sz w:val="28"/>
          <w:szCs w:val="28"/>
          <w:lang w:val="en-US"/>
        </w:rPr>
        <w:t>II</w:t>
      </w:r>
      <w:r w:rsidRPr="003611FF">
        <w:rPr>
          <w:rFonts w:asciiTheme="majorBidi" w:hAnsiTheme="majorBidi" w:cstheme="majorBidi"/>
          <w:sz w:val="28"/>
          <w:szCs w:val="28"/>
        </w:rPr>
        <w:t xml:space="preserve">, </w:t>
      </w:r>
      <w:r w:rsidRPr="003611FF">
        <w:rPr>
          <w:rFonts w:asciiTheme="majorBidi" w:hAnsiTheme="majorBidi" w:cstheme="majorBidi"/>
          <w:sz w:val="28"/>
          <w:szCs w:val="28"/>
          <w:lang w:val="en-US"/>
        </w:rPr>
        <w:t>III</w:t>
      </w:r>
      <w:r w:rsidRPr="003611FF">
        <w:rPr>
          <w:rFonts w:asciiTheme="majorBidi" w:hAnsiTheme="majorBidi" w:cstheme="majorBidi"/>
          <w:sz w:val="28"/>
          <w:szCs w:val="28"/>
        </w:rPr>
        <w:t xml:space="preserve">, </w:t>
      </w:r>
      <w:r w:rsidRPr="003611FF">
        <w:rPr>
          <w:rFonts w:asciiTheme="majorBidi" w:hAnsiTheme="majorBidi" w:cstheme="majorBidi"/>
          <w:sz w:val="28"/>
          <w:szCs w:val="28"/>
          <w:lang w:val="en-US"/>
        </w:rPr>
        <w:t>IV</w:t>
      </w:r>
      <w:r w:rsidRPr="003611FF">
        <w:rPr>
          <w:rFonts w:asciiTheme="majorBidi" w:hAnsiTheme="majorBidi" w:cstheme="majorBidi"/>
          <w:sz w:val="28"/>
          <w:szCs w:val="28"/>
        </w:rPr>
        <w:t xml:space="preserve"> кварталы 2025 года и на </w:t>
      </w:r>
      <w:r w:rsidRPr="003611FF">
        <w:rPr>
          <w:rFonts w:asciiTheme="majorBidi" w:hAnsiTheme="majorBidi" w:cstheme="majorBidi"/>
          <w:sz w:val="28"/>
          <w:szCs w:val="28"/>
          <w:lang w:val="en-US"/>
        </w:rPr>
        <w:t>I</w:t>
      </w:r>
      <w:r w:rsidRPr="003611FF">
        <w:rPr>
          <w:rFonts w:asciiTheme="majorBidi" w:hAnsiTheme="majorBidi" w:cstheme="majorBidi"/>
          <w:sz w:val="28"/>
          <w:szCs w:val="28"/>
        </w:rPr>
        <w:t xml:space="preserve"> квартал 2026 года, а также план законопроектных работ Народного Собрания (Парламента) КЧР на 2026 год.</w:t>
      </w:r>
    </w:p>
    <w:p w:rsidR="003611FF" w:rsidRPr="003611FF" w:rsidRDefault="003611FF" w:rsidP="003611FF">
      <w:pPr>
        <w:spacing w:line="360" w:lineRule="auto"/>
        <w:ind w:firstLine="708"/>
        <w:jc w:val="both"/>
        <w:rPr>
          <w:rFonts w:asciiTheme="majorBidi" w:hAnsiTheme="majorBidi" w:cstheme="majorBidi"/>
          <w:sz w:val="28"/>
          <w:szCs w:val="28"/>
        </w:rPr>
      </w:pPr>
      <w:r w:rsidRPr="003611FF">
        <w:rPr>
          <w:rFonts w:asciiTheme="majorBidi" w:hAnsiTheme="majorBidi" w:cstheme="majorBidi"/>
          <w:sz w:val="28"/>
          <w:szCs w:val="28"/>
        </w:rPr>
        <w:t>Ежеквартально отправлялось в Управление Главы КЧР по внутренней политике отчеты Форма «ЗС» по текущей деятельности законодательного органа субъекта Российской Федерации.</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Ведется постоянный учет и анализ состава депутатского корпуса.</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 xml:space="preserve">Проводилась работа по обеспечению взаимодействия депутатов Парламента республики с членами Южно-Российской Парламентской Ассоциации, членами Совета </w:t>
      </w:r>
      <w:proofErr w:type="gramStart"/>
      <w:r w:rsidRPr="003611FF">
        <w:rPr>
          <w:rFonts w:asciiTheme="majorBidi" w:hAnsiTheme="majorBidi" w:cstheme="majorBidi"/>
          <w:sz w:val="28"/>
          <w:szCs w:val="28"/>
        </w:rPr>
        <w:t>Северо-Кавказской</w:t>
      </w:r>
      <w:proofErr w:type="gramEnd"/>
      <w:r w:rsidRPr="003611FF">
        <w:rPr>
          <w:rFonts w:asciiTheme="majorBidi" w:hAnsiTheme="majorBidi" w:cstheme="majorBidi"/>
          <w:sz w:val="28"/>
          <w:szCs w:val="28"/>
        </w:rPr>
        <w:t xml:space="preserve"> Парламентской Ассоциации, их участие в Конференциях.</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Оказывалось содействие в работе депутатам Государственной Думы и сенаторам Совета Федерации Федерального Собрания РФ от                             Карачаево-Черкесской Республике и их помощникам. Составлялись справки и информации по запросам Аппарата Совета Федерации и Государственной Думы Федерального Собрания РФ.</w:t>
      </w:r>
    </w:p>
    <w:p w:rsidR="003611FF" w:rsidRPr="003611FF" w:rsidRDefault="003611FF" w:rsidP="003611FF">
      <w:pPr>
        <w:spacing w:line="360" w:lineRule="auto"/>
        <w:ind w:firstLine="708"/>
        <w:jc w:val="both"/>
        <w:rPr>
          <w:rFonts w:asciiTheme="majorBidi" w:hAnsiTheme="majorBidi" w:cstheme="majorBidi"/>
          <w:sz w:val="28"/>
          <w:szCs w:val="28"/>
          <w:lang w:val="en-US"/>
        </w:rPr>
      </w:pPr>
      <w:r w:rsidRPr="003611FF">
        <w:rPr>
          <w:rFonts w:asciiTheme="majorBidi" w:hAnsiTheme="majorBidi" w:cstheme="majorBidi"/>
          <w:sz w:val="28"/>
          <w:szCs w:val="28"/>
        </w:rPr>
        <w:t>Проведены парламентские встречи депутатов Народного Собрания (Парламента) Карачаево-Черкесской Республики с духовенством в рамках Епархиальных образовательных чтений.</w:t>
      </w:r>
    </w:p>
    <w:p w:rsidR="003611FF" w:rsidRPr="003611FF" w:rsidRDefault="003611FF" w:rsidP="003611FF">
      <w:pPr>
        <w:spacing w:line="360" w:lineRule="auto"/>
        <w:ind w:firstLine="708"/>
        <w:jc w:val="both"/>
        <w:rPr>
          <w:rFonts w:asciiTheme="majorBidi" w:hAnsiTheme="majorBidi" w:cstheme="majorBidi"/>
          <w:sz w:val="28"/>
          <w:szCs w:val="28"/>
        </w:rPr>
      </w:pPr>
      <w:r w:rsidRPr="003611FF">
        <w:rPr>
          <w:rFonts w:asciiTheme="majorBidi" w:hAnsiTheme="majorBidi" w:cstheme="majorBidi"/>
          <w:sz w:val="28"/>
          <w:szCs w:val="28"/>
        </w:rPr>
        <w:t xml:space="preserve">Организована работа по участию депутатов Народного Собрания (Парламента) Карачаево-Черкесской Республики в ежегодной акции «Ёлка желаний». Подготовлено 350 подарков на Новый год детям погибших участников специальной военной операции от лица Народного Собрания </w:t>
      </w:r>
      <w:r w:rsidRPr="003611FF">
        <w:rPr>
          <w:rFonts w:asciiTheme="majorBidi" w:hAnsiTheme="majorBidi" w:cstheme="majorBidi"/>
          <w:sz w:val="28"/>
          <w:szCs w:val="28"/>
        </w:rPr>
        <w:lastRenderedPageBreak/>
        <w:t>(Парламента) Карачаево-Черкесской Республики и Ассоциации ветеранов специальной военной операции по КЧР.</w:t>
      </w:r>
    </w:p>
    <w:p w:rsidR="003611FF" w:rsidRPr="003611FF" w:rsidRDefault="003611FF" w:rsidP="003611FF">
      <w:pPr>
        <w:spacing w:line="360" w:lineRule="auto"/>
        <w:jc w:val="center"/>
        <w:rPr>
          <w:rFonts w:asciiTheme="majorBidi" w:hAnsiTheme="majorBidi" w:cstheme="majorBidi"/>
          <w:b/>
          <w:sz w:val="28"/>
          <w:szCs w:val="28"/>
        </w:rPr>
      </w:pPr>
      <w:r w:rsidRPr="003611FF">
        <w:rPr>
          <w:rFonts w:asciiTheme="majorBidi" w:hAnsiTheme="majorBidi" w:cstheme="majorBidi"/>
          <w:b/>
          <w:sz w:val="28"/>
          <w:szCs w:val="28"/>
        </w:rPr>
        <w:t>2. Реализация в Народном Собрании (</w:t>
      </w:r>
      <w:proofErr w:type="gramStart"/>
      <w:r w:rsidRPr="003611FF">
        <w:rPr>
          <w:rFonts w:asciiTheme="majorBidi" w:hAnsiTheme="majorBidi" w:cstheme="majorBidi"/>
          <w:b/>
          <w:sz w:val="28"/>
          <w:szCs w:val="28"/>
        </w:rPr>
        <w:t xml:space="preserve">Парламенте)   </w:t>
      </w:r>
      <w:proofErr w:type="gramEnd"/>
      <w:r w:rsidRPr="003611FF">
        <w:rPr>
          <w:rFonts w:asciiTheme="majorBidi" w:hAnsiTheme="majorBidi" w:cstheme="majorBidi"/>
          <w:b/>
          <w:sz w:val="28"/>
          <w:szCs w:val="28"/>
        </w:rPr>
        <w:t xml:space="preserve">                           Карачаево-Черкесской Республики законодательства о государственной гражданской службе и труде</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Осуществлялась подготовка проектов распоряжений Председателя Народного Собрания, связанных с поступлением на республиканскую государственную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республиканского государственного гражданского служащего с гражданской службы и выходом его на пенсию:</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 xml:space="preserve">- подготовлено </w:t>
      </w:r>
      <w:r w:rsidRPr="003611FF">
        <w:rPr>
          <w:rFonts w:asciiTheme="majorBidi" w:hAnsiTheme="majorBidi" w:cstheme="majorBidi"/>
          <w:sz w:val="28"/>
          <w:szCs w:val="28"/>
          <w:lang w:val="en-US"/>
        </w:rPr>
        <w:t>349</w:t>
      </w:r>
      <w:r w:rsidRPr="003611FF">
        <w:rPr>
          <w:rFonts w:asciiTheme="majorBidi" w:hAnsiTheme="majorBidi" w:cstheme="majorBidi"/>
          <w:sz w:val="28"/>
          <w:szCs w:val="28"/>
        </w:rPr>
        <w:t xml:space="preserve"> распоряжений Председателя Народного Собрания (Парламента) КЧР по личному составу.</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color w:val="FF0000"/>
          <w:sz w:val="28"/>
          <w:szCs w:val="28"/>
        </w:rPr>
        <w:tab/>
      </w:r>
      <w:r w:rsidRPr="003611FF">
        <w:rPr>
          <w:rFonts w:asciiTheme="majorBidi" w:hAnsiTheme="majorBidi" w:cstheme="majorBidi"/>
          <w:sz w:val="28"/>
          <w:szCs w:val="28"/>
        </w:rPr>
        <w:t>- оформлено 1</w:t>
      </w:r>
      <w:r w:rsidRPr="003611FF">
        <w:rPr>
          <w:rFonts w:asciiTheme="majorBidi" w:hAnsiTheme="majorBidi" w:cstheme="majorBidi"/>
          <w:sz w:val="28"/>
          <w:szCs w:val="28"/>
          <w:lang w:val="en-US"/>
        </w:rPr>
        <w:t>9</w:t>
      </w:r>
      <w:r w:rsidRPr="003611FF">
        <w:rPr>
          <w:rFonts w:asciiTheme="majorBidi" w:hAnsiTheme="majorBidi" w:cstheme="majorBidi"/>
          <w:sz w:val="28"/>
          <w:szCs w:val="28"/>
        </w:rPr>
        <w:t xml:space="preserve"> служебных контрактов и дополнений к служебным контрактам о прохождении гражданской службы. Оформлены соответствующие документы для присвоения гражданским служащим классных чинов (8 представлений). </w:t>
      </w:r>
    </w:p>
    <w:p w:rsidR="003611FF" w:rsidRPr="003611FF" w:rsidRDefault="003611FF" w:rsidP="003611FF">
      <w:pPr>
        <w:spacing w:line="360" w:lineRule="auto"/>
        <w:ind w:firstLine="708"/>
        <w:jc w:val="both"/>
        <w:rPr>
          <w:rFonts w:asciiTheme="majorBidi" w:hAnsiTheme="majorBidi" w:cstheme="majorBidi"/>
          <w:sz w:val="28"/>
          <w:szCs w:val="28"/>
        </w:rPr>
      </w:pPr>
      <w:r w:rsidRPr="003611FF">
        <w:rPr>
          <w:rFonts w:asciiTheme="majorBidi" w:hAnsiTheme="majorBidi" w:cstheme="majorBidi"/>
          <w:sz w:val="28"/>
          <w:szCs w:val="28"/>
        </w:rPr>
        <w:t>Подготовлен один проект постановления Народного Собрания (Парламента) КЧР по кадровым вопросам.</w:t>
      </w:r>
      <w:r w:rsidRPr="003611FF">
        <w:rPr>
          <w:rFonts w:asciiTheme="majorBidi" w:hAnsiTheme="majorBidi" w:cstheme="majorBidi"/>
          <w:sz w:val="28"/>
          <w:szCs w:val="28"/>
        </w:rPr>
        <w:tab/>
      </w:r>
    </w:p>
    <w:p w:rsidR="003611FF" w:rsidRPr="003611FF" w:rsidRDefault="003611FF" w:rsidP="003611FF">
      <w:pPr>
        <w:spacing w:line="360" w:lineRule="auto"/>
        <w:ind w:firstLine="708"/>
        <w:jc w:val="both"/>
        <w:rPr>
          <w:rFonts w:asciiTheme="majorBidi" w:hAnsiTheme="majorBidi" w:cstheme="majorBidi"/>
          <w:sz w:val="28"/>
          <w:szCs w:val="28"/>
        </w:rPr>
      </w:pPr>
      <w:r w:rsidRPr="003611FF">
        <w:rPr>
          <w:rFonts w:asciiTheme="majorBidi" w:hAnsiTheme="majorBidi" w:cstheme="majorBidi"/>
          <w:sz w:val="28"/>
          <w:szCs w:val="28"/>
        </w:rPr>
        <w:t>Велась работа в Единой информационной системе управления кадровым составом государственной гражданской службы Российской Федерации. Оформлены электронные личные дела гражданских служащих Народного Собрания (Парламента) КЧР.</w:t>
      </w:r>
    </w:p>
    <w:p w:rsidR="003611FF" w:rsidRPr="003611FF" w:rsidRDefault="003611FF" w:rsidP="003611FF">
      <w:pPr>
        <w:spacing w:line="360" w:lineRule="auto"/>
        <w:ind w:firstLine="708"/>
        <w:jc w:val="both"/>
        <w:rPr>
          <w:rFonts w:asciiTheme="majorBidi" w:hAnsiTheme="majorBidi" w:cstheme="majorBidi"/>
          <w:sz w:val="28"/>
          <w:szCs w:val="28"/>
        </w:rPr>
      </w:pPr>
      <w:r w:rsidRPr="003611FF">
        <w:rPr>
          <w:rFonts w:asciiTheme="majorBidi" w:hAnsiTheme="majorBidi" w:cstheme="majorBidi"/>
          <w:sz w:val="28"/>
          <w:szCs w:val="28"/>
        </w:rPr>
        <w:t>Осуществлялась подготовка к утверждению изменений в штатное расписание на 202</w:t>
      </w:r>
      <w:r w:rsidRPr="003611FF">
        <w:rPr>
          <w:rFonts w:asciiTheme="majorBidi" w:hAnsiTheme="majorBidi" w:cstheme="majorBidi"/>
          <w:sz w:val="28"/>
          <w:szCs w:val="28"/>
          <w:lang w:val="en-US"/>
        </w:rPr>
        <w:t>5</w:t>
      </w:r>
      <w:r w:rsidRPr="003611FF">
        <w:rPr>
          <w:rFonts w:asciiTheme="majorBidi" w:hAnsiTheme="majorBidi" w:cstheme="majorBidi"/>
          <w:sz w:val="28"/>
          <w:szCs w:val="28"/>
        </w:rPr>
        <w:t xml:space="preserve"> год (</w:t>
      </w:r>
      <w:r w:rsidRPr="003611FF">
        <w:rPr>
          <w:rFonts w:asciiTheme="majorBidi" w:hAnsiTheme="majorBidi" w:cstheme="majorBidi"/>
          <w:sz w:val="28"/>
          <w:szCs w:val="28"/>
          <w:lang w:val="en-US"/>
        </w:rPr>
        <w:t>6</w:t>
      </w:r>
      <w:r w:rsidRPr="003611FF">
        <w:rPr>
          <w:rFonts w:asciiTheme="majorBidi" w:hAnsiTheme="majorBidi" w:cstheme="majorBidi"/>
          <w:sz w:val="28"/>
          <w:szCs w:val="28"/>
        </w:rPr>
        <w:t xml:space="preserve"> постановлений Президиума Народного Собрания (Парламента) КЧР.</w:t>
      </w:r>
    </w:p>
    <w:p w:rsidR="003611FF" w:rsidRPr="003611FF" w:rsidRDefault="003611FF" w:rsidP="003611FF">
      <w:pPr>
        <w:spacing w:line="360" w:lineRule="auto"/>
        <w:ind w:firstLine="708"/>
        <w:jc w:val="both"/>
        <w:rPr>
          <w:rFonts w:asciiTheme="majorBidi" w:hAnsiTheme="majorBidi" w:cstheme="majorBidi"/>
          <w:sz w:val="28"/>
          <w:szCs w:val="28"/>
        </w:rPr>
      </w:pPr>
      <w:r w:rsidRPr="003611FF">
        <w:rPr>
          <w:rFonts w:asciiTheme="majorBidi" w:hAnsiTheme="majorBidi" w:cstheme="majorBidi"/>
          <w:sz w:val="28"/>
          <w:szCs w:val="28"/>
        </w:rPr>
        <w:lastRenderedPageBreak/>
        <w:t xml:space="preserve">Обеспечивалась организация и оформление документов аттестации гражданских служащих Народного Собрания (Парламента) КЧР                             </w:t>
      </w:r>
      <w:proofErr w:type="gramStart"/>
      <w:r w:rsidRPr="003611FF">
        <w:rPr>
          <w:rFonts w:asciiTheme="majorBidi" w:hAnsiTheme="majorBidi" w:cstheme="majorBidi"/>
          <w:sz w:val="28"/>
          <w:szCs w:val="28"/>
        </w:rPr>
        <w:t xml:space="preserve">   (</w:t>
      </w:r>
      <w:proofErr w:type="gramEnd"/>
      <w:r w:rsidRPr="003611FF">
        <w:rPr>
          <w:rFonts w:asciiTheme="majorBidi" w:hAnsiTheme="majorBidi" w:cstheme="majorBidi"/>
          <w:sz w:val="28"/>
          <w:szCs w:val="28"/>
          <w:lang w:val="en-US"/>
        </w:rPr>
        <w:t>8</w:t>
      </w:r>
      <w:r w:rsidRPr="003611FF">
        <w:rPr>
          <w:rFonts w:asciiTheme="majorBidi" w:hAnsiTheme="majorBidi" w:cstheme="majorBidi"/>
          <w:sz w:val="28"/>
          <w:szCs w:val="28"/>
        </w:rPr>
        <w:t xml:space="preserve"> аттестуемых), проведенной </w:t>
      </w:r>
      <w:r w:rsidRPr="003611FF">
        <w:rPr>
          <w:rFonts w:asciiTheme="majorBidi" w:hAnsiTheme="majorBidi" w:cstheme="majorBidi"/>
          <w:sz w:val="28"/>
          <w:szCs w:val="28"/>
          <w:lang w:val="en-US"/>
        </w:rPr>
        <w:t xml:space="preserve">28 </w:t>
      </w:r>
      <w:r w:rsidRPr="003611FF">
        <w:rPr>
          <w:rFonts w:asciiTheme="majorBidi" w:hAnsiTheme="majorBidi" w:cstheme="majorBidi"/>
          <w:sz w:val="28"/>
          <w:szCs w:val="28"/>
        </w:rPr>
        <w:t>февраля 2025 года (оформление протоколов аттестационной комиссии и аттестационных листов).</w:t>
      </w:r>
    </w:p>
    <w:p w:rsidR="003611FF" w:rsidRPr="003611FF" w:rsidRDefault="003611FF" w:rsidP="003611FF">
      <w:pPr>
        <w:spacing w:line="360" w:lineRule="auto"/>
        <w:ind w:firstLine="708"/>
        <w:jc w:val="both"/>
        <w:rPr>
          <w:rFonts w:asciiTheme="majorBidi" w:hAnsiTheme="majorBidi" w:cstheme="majorBidi"/>
          <w:sz w:val="28"/>
          <w:szCs w:val="28"/>
        </w:rPr>
      </w:pPr>
      <w:r w:rsidRPr="003611FF">
        <w:rPr>
          <w:rFonts w:asciiTheme="majorBidi" w:hAnsiTheme="majorBidi" w:cstheme="majorBidi"/>
          <w:sz w:val="28"/>
          <w:szCs w:val="28"/>
        </w:rPr>
        <w:t>Обеспечивалась организация и оформление документов по проведению конкурса на включение граждан (гражданских служащих) в кадровый резерв для замещения вакантных должностей государственной гражданской службы Карачаево-Черкесской Республики в Народном Собрании (Парламенте) Карачаево-Черкесской Республики (распоряжение Председателя Народного Собрания (Парламента) КЧР об объявлении конкурса, размещение объявления о проведении конкурса в Единой информационной системе, сбор и проверка  документов от претендентов для участия в конкурсе, подготовка материалов для членов конкурсной комиссии, оформление протоколов заседаний конкурсной комиссии).</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 xml:space="preserve">Велся учет ежегодных оплачиваемых отпусков: составлен и утвержден график отпусков сотрудников Народного Собрания на 2025 год, оформлено 259 распоряжений Председателя Парламента о предоставлении отпусков                  </w:t>
      </w:r>
      <w:proofErr w:type="gramStart"/>
      <w:r w:rsidRPr="003611FF">
        <w:rPr>
          <w:rFonts w:asciiTheme="majorBidi" w:hAnsiTheme="majorBidi" w:cstheme="majorBidi"/>
          <w:sz w:val="28"/>
          <w:szCs w:val="28"/>
        </w:rPr>
        <w:t xml:space="preserve">   (</w:t>
      </w:r>
      <w:proofErr w:type="gramEnd"/>
      <w:r w:rsidRPr="003611FF">
        <w:rPr>
          <w:rFonts w:asciiTheme="majorBidi" w:hAnsiTheme="majorBidi" w:cstheme="majorBidi"/>
          <w:sz w:val="28"/>
          <w:szCs w:val="28"/>
        </w:rPr>
        <w:t xml:space="preserve">в </w:t>
      </w:r>
      <w:proofErr w:type="spellStart"/>
      <w:r w:rsidRPr="003611FF">
        <w:rPr>
          <w:rFonts w:asciiTheme="majorBidi" w:hAnsiTheme="majorBidi" w:cstheme="majorBidi"/>
          <w:sz w:val="28"/>
          <w:szCs w:val="28"/>
        </w:rPr>
        <w:t>т.ч</w:t>
      </w:r>
      <w:proofErr w:type="spellEnd"/>
      <w:r w:rsidRPr="003611FF">
        <w:rPr>
          <w:rFonts w:asciiTheme="majorBidi" w:hAnsiTheme="majorBidi" w:cstheme="majorBidi"/>
          <w:sz w:val="28"/>
          <w:szCs w:val="28"/>
        </w:rPr>
        <w:t xml:space="preserve">. по беременности и родам, без сохранения денежного содержания, о предоставлении дней отдыха за работу в выходные дни) и об отзывах из отпусков. </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Подготовлены и сданы статистические отчеты по кадрам в Управление Росстата по Карачаево-Черкесской Республике и в Социальный фонд Российской Федерации по КЧР (4 отчета по форме № П-4(НЗ), 42 отчета по форме ЕФС-1, один отчет по форме СЗВ-СТАЖ, один отчет по форме                     1-Т (ГС)), оформлялись личные карточки №Т-2ГС(МС) вновь поступивших лиц, замещающих государственные должности и карточки №Т-2 обслуживающего персонала.</w:t>
      </w:r>
    </w:p>
    <w:p w:rsidR="003611FF" w:rsidRPr="003611FF" w:rsidRDefault="003611FF" w:rsidP="003611FF">
      <w:pPr>
        <w:spacing w:line="360" w:lineRule="auto"/>
        <w:ind w:firstLine="708"/>
        <w:jc w:val="both"/>
        <w:rPr>
          <w:rFonts w:asciiTheme="majorBidi" w:hAnsiTheme="majorBidi" w:cstheme="majorBidi"/>
          <w:sz w:val="28"/>
          <w:szCs w:val="28"/>
        </w:rPr>
      </w:pPr>
      <w:r w:rsidRPr="003611FF">
        <w:rPr>
          <w:rFonts w:asciiTheme="majorBidi" w:hAnsiTheme="majorBidi" w:cstheme="majorBidi"/>
          <w:sz w:val="28"/>
          <w:szCs w:val="28"/>
        </w:rPr>
        <w:lastRenderedPageBreak/>
        <w:t>Подготовлены справки депутатам и сотрудникам Народного Собрания (Парламента) КЧР для предъявления по месту требования.</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Составлен Реестр государственных гражданских служащих Народного Собрания республики на 01.01.2025 года. Велась работа с кадровым резервом Народного Собрания. Направлялись отчеты по мониторингу численности работников, замещающих должности государственной гражданской службы и государственные должности в Народном Собрании (Парламенте) КЧР в Управление Главы и Правительства КЧР по кадровой политике и вопросам государственной службы.</w:t>
      </w:r>
    </w:p>
    <w:p w:rsidR="003611FF" w:rsidRPr="003611FF" w:rsidRDefault="003611FF" w:rsidP="003611FF">
      <w:pPr>
        <w:spacing w:line="360" w:lineRule="auto"/>
        <w:ind w:firstLine="708"/>
        <w:jc w:val="both"/>
        <w:rPr>
          <w:rFonts w:asciiTheme="majorBidi" w:hAnsiTheme="majorBidi" w:cstheme="majorBidi"/>
          <w:sz w:val="28"/>
          <w:szCs w:val="28"/>
        </w:rPr>
      </w:pPr>
      <w:r w:rsidRPr="003611FF">
        <w:rPr>
          <w:rFonts w:asciiTheme="majorBidi" w:hAnsiTheme="majorBidi" w:cstheme="majorBidi"/>
          <w:sz w:val="28"/>
          <w:szCs w:val="28"/>
        </w:rPr>
        <w:t>Осуществлялось методическое сопровождение разработки должностных регламентов гражданских служащих.</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Была организована работа по представлению лицами, замещающими должности государственной гражданской службы в Народном Собрании (Парламенте) КЧР и депутатами Народного Собрания (Парламента) КЧР сведений о доходах, расходах, об имуществе и обязательствах имущественного характера за 2024 год и по размещению на официальном сайте Народного Собрания (Парламента) КЧР выше указанных сведений.</w:t>
      </w:r>
    </w:p>
    <w:p w:rsidR="003611FF" w:rsidRPr="003611FF" w:rsidRDefault="003611FF" w:rsidP="003611FF">
      <w:pPr>
        <w:spacing w:line="360" w:lineRule="auto"/>
        <w:ind w:firstLine="708"/>
        <w:jc w:val="both"/>
        <w:rPr>
          <w:rFonts w:asciiTheme="majorBidi" w:hAnsiTheme="majorBidi" w:cstheme="majorBidi"/>
          <w:bCs/>
          <w:sz w:val="28"/>
          <w:szCs w:val="28"/>
        </w:rPr>
      </w:pPr>
      <w:r w:rsidRPr="003611FF">
        <w:rPr>
          <w:rFonts w:asciiTheme="majorBidi" w:hAnsiTheme="majorBidi" w:cstheme="majorBidi"/>
          <w:sz w:val="28"/>
          <w:szCs w:val="28"/>
        </w:rPr>
        <w:t xml:space="preserve">Обеспечивалась организация и оформление документов по проведению заседания комиссии по </w:t>
      </w:r>
      <w:r w:rsidRPr="003611FF">
        <w:rPr>
          <w:rFonts w:asciiTheme="majorBidi" w:hAnsiTheme="majorBidi" w:cstheme="majorBidi"/>
          <w:bCs/>
          <w:sz w:val="28"/>
          <w:szCs w:val="28"/>
        </w:rPr>
        <w:t xml:space="preserve">контролю за достоверностью сведений о доходах, </w:t>
      </w:r>
      <w:r w:rsidRPr="003611FF">
        <w:rPr>
          <w:rFonts w:asciiTheme="majorBidi" w:hAnsiTheme="majorBidi" w:cstheme="majorBidi"/>
          <w:sz w:val="28"/>
          <w:szCs w:val="28"/>
        </w:rPr>
        <w:t xml:space="preserve">расходах, </w:t>
      </w:r>
      <w:r w:rsidRPr="003611FF">
        <w:rPr>
          <w:rFonts w:asciiTheme="majorBidi" w:hAnsiTheme="majorBidi" w:cstheme="majorBidi"/>
          <w:bCs/>
          <w:sz w:val="28"/>
          <w:szCs w:val="28"/>
        </w:rPr>
        <w:t>об имуществе и обязательствах имущественного характера, представляемых депутатами Народного Собрания (</w:t>
      </w:r>
      <w:proofErr w:type="gramStart"/>
      <w:r w:rsidRPr="003611FF">
        <w:rPr>
          <w:rFonts w:asciiTheme="majorBidi" w:hAnsiTheme="majorBidi" w:cstheme="majorBidi"/>
          <w:bCs/>
          <w:sz w:val="28"/>
          <w:szCs w:val="28"/>
        </w:rPr>
        <w:t xml:space="preserve">Парламента)   </w:t>
      </w:r>
      <w:proofErr w:type="gramEnd"/>
      <w:r w:rsidRPr="003611FF">
        <w:rPr>
          <w:rFonts w:asciiTheme="majorBidi" w:hAnsiTheme="majorBidi" w:cstheme="majorBidi"/>
          <w:bCs/>
          <w:sz w:val="28"/>
          <w:szCs w:val="28"/>
        </w:rPr>
        <w:t xml:space="preserve">             Карачаево-Черкесской   Республики  седьмого созыва.</w:t>
      </w:r>
    </w:p>
    <w:p w:rsidR="003611FF" w:rsidRPr="003611FF" w:rsidRDefault="003611FF" w:rsidP="003611FF">
      <w:pPr>
        <w:spacing w:line="360" w:lineRule="auto"/>
        <w:ind w:firstLine="708"/>
        <w:jc w:val="both"/>
        <w:rPr>
          <w:rFonts w:asciiTheme="majorBidi" w:hAnsiTheme="majorBidi" w:cstheme="majorBidi"/>
          <w:bCs/>
          <w:sz w:val="28"/>
          <w:szCs w:val="28"/>
        </w:rPr>
      </w:pPr>
      <w:r w:rsidRPr="003611FF">
        <w:rPr>
          <w:rFonts w:asciiTheme="majorBidi" w:hAnsiTheme="majorBidi" w:cstheme="majorBidi"/>
          <w:bCs/>
          <w:sz w:val="28"/>
          <w:szCs w:val="28"/>
        </w:rPr>
        <w:t>Подготовлены документы для оформления электронных пропусков депутатам, государственным служащим и работникам Народного Собрания (Парламента) Карачаево-Черкесской   Республики.</w:t>
      </w:r>
    </w:p>
    <w:p w:rsidR="003611FF" w:rsidRPr="003611FF" w:rsidRDefault="003611FF" w:rsidP="003611FF">
      <w:pPr>
        <w:spacing w:line="360" w:lineRule="auto"/>
        <w:ind w:firstLine="708"/>
        <w:jc w:val="both"/>
        <w:rPr>
          <w:rFonts w:asciiTheme="majorBidi" w:hAnsiTheme="majorBidi" w:cstheme="majorBidi"/>
          <w:bCs/>
          <w:sz w:val="28"/>
          <w:szCs w:val="28"/>
        </w:rPr>
      </w:pPr>
      <w:r w:rsidRPr="003611FF">
        <w:rPr>
          <w:rFonts w:asciiTheme="majorBidi" w:hAnsiTheme="majorBidi" w:cstheme="majorBidi"/>
          <w:bCs/>
          <w:sz w:val="28"/>
          <w:szCs w:val="28"/>
        </w:rPr>
        <w:t xml:space="preserve">Велась работа по воинскому учету сотрудников, в том числе бронированию граждан, пребывающих в запасе. Подготовлен План по </w:t>
      </w:r>
      <w:r w:rsidRPr="003611FF">
        <w:rPr>
          <w:rFonts w:asciiTheme="majorBidi" w:hAnsiTheme="majorBidi" w:cstheme="majorBidi"/>
          <w:bCs/>
          <w:sz w:val="28"/>
          <w:szCs w:val="28"/>
        </w:rPr>
        <w:lastRenderedPageBreak/>
        <w:t>ведению воинского учета и бронированию граждан, пребывающих в запасе, на 2026 год.</w:t>
      </w:r>
    </w:p>
    <w:p w:rsidR="003611FF" w:rsidRPr="003611FF" w:rsidRDefault="003611FF" w:rsidP="003611FF">
      <w:pPr>
        <w:spacing w:line="360" w:lineRule="auto"/>
        <w:jc w:val="center"/>
        <w:rPr>
          <w:rFonts w:asciiTheme="majorBidi" w:hAnsiTheme="majorBidi" w:cstheme="majorBidi"/>
          <w:sz w:val="28"/>
          <w:szCs w:val="28"/>
        </w:rPr>
      </w:pPr>
      <w:r w:rsidRPr="003611FF">
        <w:rPr>
          <w:rFonts w:asciiTheme="majorBidi" w:hAnsiTheme="majorBidi" w:cstheme="majorBidi"/>
          <w:b/>
          <w:sz w:val="28"/>
          <w:szCs w:val="28"/>
        </w:rPr>
        <w:t>3. Работа по награждению государственными и ведомственными наградами</w:t>
      </w:r>
      <w:r w:rsidRPr="003611FF">
        <w:rPr>
          <w:rFonts w:asciiTheme="majorBidi" w:hAnsiTheme="majorBidi" w:cstheme="majorBidi"/>
          <w:sz w:val="28"/>
          <w:szCs w:val="28"/>
        </w:rPr>
        <w:t>.</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 xml:space="preserve">Подготовлено 112 постановления Президиума Народного Собрания (Парламента) КЧР о награждении Почетной грамотой Президиума Народного Собрания (Парламента) КЧР, оформлено 719 Почетных грамот Президиума Народного Собрания (Парламента) КЧР, оформлено 90 Почетных грамот Народного Собрания (Парламента) КЧР. Подготовлено 127 Благодарностей Председателя Народного Собрания (Парламента) КЧР. </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 xml:space="preserve">      </w:t>
      </w:r>
      <w:r w:rsidRPr="003611FF">
        <w:rPr>
          <w:rFonts w:asciiTheme="majorBidi" w:hAnsiTheme="majorBidi" w:cstheme="majorBidi"/>
          <w:sz w:val="28"/>
          <w:szCs w:val="28"/>
        </w:rPr>
        <w:tab/>
        <w:t xml:space="preserve">Подготовлено четыре ходатайства Главе Карачаево-Черкесской Республики о присвоении почетного звания Карачаево-Черкесской Республики. Подготовлено два ходатайства сенатору Российской Федерации об объявлении благодарности Председателя Совета Федерации Федерального Собрания Российской Федерации. Подготовлено одно ходатайство сенатору Российской Федерации о награждении почетной грамотой Совета Федерации Федерального Собрания Российской Федерации. Подготовлено одно ходатайство Главе Карачаево-Черкесской Республики для награждения орденом «За заслуги перед Карачаево-Черкесской Республикой». Подготовлено три ходатайства для награждения Почетной грамотой Правительства Карачаево-Черкесской Республики. Подготовлено одно ходатайство для награждения Почетной грамотой Министерства экономического развития Карачаево-Черкесской Республики. </w:t>
      </w:r>
    </w:p>
    <w:p w:rsidR="003611FF" w:rsidRPr="003611FF" w:rsidRDefault="003611FF" w:rsidP="003611FF">
      <w:pPr>
        <w:spacing w:line="360" w:lineRule="auto"/>
        <w:jc w:val="both"/>
        <w:rPr>
          <w:rFonts w:asciiTheme="majorBidi" w:hAnsiTheme="majorBidi" w:cstheme="majorBidi"/>
          <w:sz w:val="28"/>
          <w:szCs w:val="28"/>
        </w:rPr>
      </w:pPr>
      <w:r w:rsidRPr="003611FF">
        <w:rPr>
          <w:rFonts w:asciiTheme="majorBidi" w:hAnsiTheme="majorBidi" w:cstheme="majorBidi"/>
          <w:sz w:val="28"/>
          <w:szCs w:val="28"/>
        </w:rPr>
        <w:tab/>
        <w:t>Организованы мероприятия по торжественному вручению Почетных грамот Народного Собрания (Парламента) Карачаево-Черкесской Республики.</w:t>
      </w:r>
    </w:p>
    <w:p w:rsidR="009B09CF" w:rsidRPr="00F01AA6" w:rsidRDefault="009B09CF" w:rsidP="003611FF">
      <w:pPr>
        <w:spacing w:after="0" w:line="360" w:lineRule="auto"/>
        <w:jc w:val="center"/>
        <w:rPr>
          <w:rFonts w:ascii="Times New Roman" w:hAnsi="Times New Roman"/>
          <w:b/>
          <w:sz w:val="28"/>
          <w:szCs w:val="28"/>
        </w:rPr>
      </w:pPr>
    </w:p>
    <w:sectPr w:rsidR="009B09CF" w:rsidRPr="00F01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A9"/>
    <w:rsid w:val="00010D8A"/>
    <w:rsid w:val="00083457"/>
    <w:rsid w:val="001248D8"/>
    <w:rsid w:val="00166339"/>
    <w:rsid w:val="00181F93"/>
    <w:rsid w:val="00196BF9"/>
    <w:rsid w:val="001E65BD"/>
    <w:rsid w:val="0022469F"/>
    <w:rsid w:val="00235947"/>
    <w:rsid w:val="002C79E1"/>
    <w:rsid w:val="002E2504"/>
    <w:rsid w:val="002E57B3"/>
    <w:rsid w:val="003611FF"/>
    <w:rsid w:val="003C2A81"/>
    <w:rsid w:val="003D1555"/>
    <w:rsid w:val="00434F10"/>
    <w:rsid w:val="00470A6D"/>
    <w:rsid w:val="0047369B"/>
    <w:rsid w:val="004B7C8F"/>
    <w:rsid w:val="005102A8"/>
    <w:rsid w:val="0052686A"/>
    <w:rsid w:val="00555BAC"/>
    <w:rsid w:val="00575AE6"/>
    <w:rsid w:val="005A57E2"/>
    <w:rsid w:val="005B4844"/>
    <w:rsid w:val="005E46D1"/>
    <w:rsid w:val="005F0C14"/>
    <w:rsid w:val="0060363F"/>
    <w:rsid w:val="0061307E"/>
    <w:rsid w:val="00685B00"/>
    <w:rsid w:val="00710A3E"/>
    <w:rsid w:val="00752419"/>
    <w:rsid w:val="007B4221"/>
    <w:rsid w:val="007B6563"/>
    <w:rsid w:val="008A22B2"/>
    <w:rsid w:val="009721D8"/>
    <w:rsid w:val="00974C8B"/>
    <w:rsid w:val="009B09CF"/>
    <w:rsid w:val="00B04BA9"/>
    <w:rsid w:val="00B31FA9"/>
    <w:rsid w:val="00B33892"/>
    <w:rsid w:val="00BB0058"/>
    <w:rsid w:val="00BD21C6"/>
    <w:rsid w:val="00C34A07"/>
    <w:rsid w:val="00CA1E45"/>
    <w:rsid w:val="00D552A8"/>
    <w:rsid w:val="00DE629B"/>
    <w:rsid w:val="00E16C28"/>
    <w:rsid w:val="00EC63D3"/>
    <w:rsid w:val="00F01AA6"/>
    <w:rsid w:val="00F542FE"/>
    <w:rsid w:val="00F572AC"/>
    <w:rsid w:val="00F85231"/>
    <w:rsid w:val="00F879B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01DBE9-1C4A-4E6E-9C47-4E9A59C9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69F"/>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1CharChar">
    <w:name w:val="Char Char Знак Знак1 Char Char1 Знак Знак Char Char Знак Знак Знак Знак"/>
    <w:basedOn w:val="a"/>
    <w:rsid w:val="0022469F"/>
    <w:pPr>
      <w:spacing w:before="100" w:beforeAutospacing="1" w:after="100" w:afterAutospacing="1" w:line="240" w:lineRule="auto"/>
    </w:pPr>
    <w:rPr>
      <w:rFonts w:ascii="Tahoma" w:eastAsia="Times New Roman" w:hAnsi="Tahoma" w:cs="Tahoma"/>
      <w:sz w:val="20"/>
      <w:szCs w:val="20"/>
      <w:lang w:val="en-US"/>
    </w:rPr>
  </w:style>
  <w:style w:type="table" w:styleId="a3">
    <w:name w:val="Table Grid"/>
    <w:basedOn w:val="a1"/>
    <w:rsid w:val="00974C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68402-B18F-4EB8-B911-EDAE13F8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1561</Words>
  <Characters>8898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НАРОДНОЕ СОБРАНИЕ (ПАРЛАМЕНТ)</vt:lpstr>
    </vt:vector>
  </TitlesOfParts>
  <Company>MoBIL GROUP</Company>
  <LinksUpToDate>false</LinksUpToDate>
  <CharactersWithSpaces>10439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НАРОДНОЕ СОБРАНИЕ (ПАРЛАМЕНТ)</dc:title>
  <dc:subject/>
  <dc:creator>Adm</dc:creator>
  <cp:keywords/>
  <cp:lastModifiedBy>Мамхягова Ирина Алиевна</cp:lastModifiedBy>
  <cp:revision>2</cp:revision>
  <cp:lastPrinted>2013-07-15T07:41:00Z</cp:lastPrinted>
  <dcterms:created xsi:type="dcterms:W3CDTF">2026-01-26T13:32:00Z</dcterms:created>
  <dcterms:modified xsi:type="dcterms:W3CDTF">2026-01-26T13:32:00Z</dcterms:modified>
</cp:coreProperties>
</file>